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01" w:type="dxa"/>
        <w:jc w:val="center"/>
        <w:tblCellSpacing w:w="0" w:type="dxa"/>
        <w:tblInd w:w="-334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1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1" w:type="dxa"/>
            <w:shd w:val="clear" w:color="auto" w:fill="auto"/>
            <w:vAlign w:val="center"/>
          </w:tcPr>
          <w:tbl>
            <w:tblPr>
              <w:tblW w:w="15000" w:type="dxa"/>
              <w:jc w:val="center"/>
              <w:tblCellSpacing w:w="0" w:type="dxa"/>
              <w:tblInd w:w="0" w:type="dxa"/>
              <w:shd w:val="clear" w:color="auto" w:fill="FFFFFF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000"/>
            </w:tblGrid>
            <w:tr>
              <w:tblPrEx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000" w:type="dxa"/>
                  <w:shd w:val="clear" w:color="auto" w:fill="FFFFFF"/>
                  <w:vAlign w:val="top"/>
                </w:tcPr>
                <w:tbl>
                  <w:tblPr>
                    <w:tblW w:w="15000" w:type="dxa"/>
                    <w:jc w:val="center"/>
                    <w:tblCellSpacing w:w="0" w:type="dxa"/>
                    <w:tblInd w:w="0" w:type="dxa"/>
                    <w:shd w:val="clear" w:color="auto" w:fill="auto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5000"/>
                  </w:tblGrid>
                  <w:tr>
                    <w:tblPrEx>
                      <w:shd w:val="clear" w:color="auto" w:fill="auto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  <w:jc w:val="center"/>
                    </w:trPr>
                    <w:tc>
                      <w:tcPr>
                        <w:tcW w:w="15000" w:type="dxa"/>
                        <w:shd w:val="clear" w:color="auto" w:fill="auto"/>
                        <w:vAlign w:val="top"/>
                      </w:tcPr>
                      <w:tbl>
                        <w:tblPr>
                          <w:tblW w:w="15000" w:type="dxa"/>
                          <w:jc w:val="center"/>
                          <w:tblCellSpacing w:w="0" w:type="dxa"/>
                          <w:tblInd w:w="0" w:type="dxa"/>
                          <w:shd w:val="clear" w:color="auto" w:fill="auto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5000"/>
                        </w:tblGrid>
                        <w:tr>
                          <w:tblPrEx>
                            <w:shd w:val="clear" w:color="auto" w:fill="auto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901" w:hRule="atLeast"/>
                            <w:tblCellSpacing w:w="0" w:type="dxa"/>
                            <w:jc w:val="center"/>
                          </w:trPr>
                          <w:tc>
                            <w:tcPr>
                              <w:tcW w:w="15000" w:type="dxa"/>
                              <w:shd w:val="clear" w:color="auto" w:fill="auto"/>
                              <w:vAlign w:val="top"/>
                            </w:tcPr>
                            <w:tbl>
                              <w:tblPr>
                                <w:tblW w:w="10300" w:type="dxa"/>
                                <w:jc w:val="center"/>
                                <w:tblCellSpacing w:w="0" w:type="dxa"/>
                                <w:tblInd w:w="2350" w:type="dxa"/>
                                <w:shd w:val="clear" w:color="auto" w:fill="auto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10300"/>
                              </w:tblGrid>
                              <w:tr>
                                <w:tblPrEx>
                                  <w:shd w:val="clear" w:color="auto" w:fill="auto"/>
                                  <w:tblLayout w:type="fixed"/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1080" w:hRule="atLeast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10300" w:type="dxa"/>
                                    <w:shd w:val="clear" w:color="auto" w:fill="auto"/>
                                    <w:vAlign w:val="center"/>
                                  </w:tcPr>
                                  <w:tbl>
                                    <w:tblPr>
                                      <w:tblW w:w="10300" w:type="dxa"/>
                                      <w:jc w:val="center"/>
                                      <w:tblCellSpacing w:w="0" w:type="dxa"/>
                                      <w:tblInd w:w="0" w:type="dxa"/>
                                      <w:shd w:val="clear" w:color="auto" w:fill="auto"/>
                                      <w:tblLayout w:type="fixed"/>
                                      <w:tblCellMar>
                                        <w:top w:w="75" w:type="dxa"/>
                                        <w:left w:w="75" w:type="dxa"/>
                                        <w:bottom w:w="75" w:type="dxa"/>
                                        <w:right w:w="75" w:type="dxa"/>
                                      </w:tblCellMar>
                                    </w:tblPr>
                                    <w:tblGrid>
                                      <w:gridCol w:w="10300"/>
                                    </w:tblGrid>
                                    <w:tr>
                                      <w:tblPrEx>
                                        <w:shd w:val="clear" w:color="auto" w:fill="auto"/>
                                        <w:tblLayout w:type="fixed"/>
                                        <w:tblCellMar>
                                          <w:top w:w="75" w:type="dxa"/>
                                          <w:left w:w="75" w:type="dxa"/>
                                          <w:bottom w:w="75" w:type="dxa"/>
                                          <w:right w:w="75" w:type="dxa"/>
                                        </w:tblCellMar>
                                      </w:tblPrEx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10300" w:type="dxa"/>
                                          <w:shd w:val="clear" w:color="auto" w:fill="auto"/>
                                          <w:vAlign w:val="center"/>
                                        </w:tcPr>
                                        <w:p>
                                          <w:pPr>
                                            <w:widowControl/>
                                            <w:jc w:val="center"/>
                                            <w:rPr>
                                              <w:rFonts w:hint="eastAsia" w:ascii="Verdana" w:hAnsi="Verdana" w:cs="Verdana"/>
                                              <w:color w:val="827E7B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bookmarkStart w:id="0" w:name="_GoBack"/>
                                          <w:r>
                                            <w:rPr>
                                              <w:rFonts w:hint="default" w:ascii="Verdana" w:hAnsi="Verdana" w:eastAsia="宋体" w:cs="Verdana"/>
                                              <w:color w:val="827E7B"/>
                                              <w:kern w:val="0"/>
                                              <w:sz w:val="18"/>
                                              <w:szCs w:val="18"/>
                                              <w:lang w:val="en-US" w:eastAsia="zh-CN" w:bidi="ar-SA"/>
                                            </w:rPr>
                                            <w:t>去冬今春全省完成水利建设总投资首逾百亿，同比增长45%</w:t>
                                          </w:r>
                                        </w:p>
                                      </w:tc>
                                    </w:tr>
                                    <w:tr>
                                      <w:tblPrEx>
                                        <w:tblLayout w:type="fixed"/>
                                        <w:tblCellMar>
                                          <w:top w:w="75" w:type="dxa"/>
                                          <w:left w:w="75" w:type="dxa"/>
                                          <w:bottom w:w="75" w:type="dxa"/>
                                          <w:right w:w="75" w:type="dxa"/>
                                        </w:tblCellMar>
                                      </w:tblPrEx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10300" w:type="dxa"/>
                                          <w:shd w:val="clear" w:color="auto" w:fill="auto"/>
                                          <w:vAlign w:val="center"/>
                                        </w:tcPr>
                                        <w:p>
                                          <w:pPr>
                                            <w:jc w:val="center"/>
                                            <w:rPr>
                                              <w:rFonts w:hint="default" w:ascii="Verdana" w:hAnsi="Verdana" w:cs="Verdana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jc w:val="center"/>
                                      <w:rPr>
                                        <w:rFonts w:hint="default" w:ascii="Verdana" w:hAnsi="Verdana" w:cs="Verdana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shd w:val="clear" w:color="auto" w:fill="auto"/>
                                  <w:tblLayout w:type="fixed"/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7400" w:hRule="atLeast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10300" w:type="dxa"/>
                                    <w:shd w:val="clear" w:color="auto" w:fill="auto"/>
                                    <w:tcMar>
                                      <w:top w:w="150" w:type="dxa"/>
                                      <w:left w:w="300" w:type="dxa"/>
                                      <w:bottom w:w="150" w:type="dxa"/>
                                      <w:right w:w="300" w:type="dxa"/>
                                    </w:tcMar>
                                    <w:vAlign w:val="center"/>
                                  </w:tcPr>
                                  <w:tbl>
                                    <w:tblPr>
                                      <w:tblW w:w="96" w:type="dxa"/>
                                      <w:jc w:val="center"/>
                                      <w:tblCellSpacing w:w="15" w:type="dxa"/>
                                      <w:tblInd w:w="4802" w:type="dxa"/>
                                      <w:tblBorders>
                                        <w:top w:val="none" w:color="auto" w:sz="0" w:space="0"/>
                                        <w:left w:val="none" w:color="auto" w:sz="0" w:space="0"/>
                                        <w:bottom w:val="none" w:color="auto" w:sz="0" w:space="0"/>
                                        <w:right w:val="none" w:color="auto" w:sz="0" w:space="0"/>
                                        <w:insideH w:val="none" w:color="auto" w:sz="0" w:space="0"/>
                                        <w:insideV w:val="none" w:color="auto" w:sz="0" w:space="0"/>
                                      </w:tblBorders>
                                      <w:shd w:val="clear" w:color="auto" w:fill="EFEFEF"/>
                                      <w:tblLayout w:type="fixed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</w:tblPr>
                                    <w:tblGrid>
                                      <w:gridCol w:w="96"/>
                                    </w:tblGrid>
                                    <w:tr>
                                      <w:tblPrEx>
                                        <w:tblBorders>
                                          <w:top w:val="none" w:color="auto" w:sz="0" w:space="0"/>
                                          <w:left w:val="none" w:color="auto" w:sz="0" w:space="0"/>
                                          <w:bottom w:val="none" w:color="auto" w:sz="0" w:space="0"/>
                                          <w:right w:val="none" w:color="auto" w:sz="0" w:space="0"/>
                                          <w:insideH w:val="none" w:color="auto" w:sz="0" w:space="0"/>
                                          <w:insideV w:val="none" w:color="auto" w:sz="0" w:space="0"/>
                                        </w:tblBorders>
                                        <w:shd w:val="clear" w:color="auto" w:fill="EFEFEF"/>
                                        <w:tblLayout w:type="fixed"/>
                                        <w:tblCellMar>
                                          <w:top w:w="15" w:type="dxa"/>
                                          <w:left w:w="15" w:type="dxa"/>
                                          <w:bottom w:w="15" w:type="dxa"/>
                                          <w:right w:w="15" w:type="dxa"/>
                                        </w:tblCellMar>
                                      </w:tblPrEx>
                                      <w:trPr>
                                        <w:tblCellSpacing w:w="15" w:type="dxa"/>
                                        <w:jc w:val="center"/>
                                      </w:trPr>
                                      <w:tc>
                                        <w:tcPr>
                                          <w:tcW w:w="36" w:type="dxa"/>
                                          <w:shd w:val="clear" w:color="auto" w:fill="EFEFEF"/>
                                          <w:vAlign w:val="center"/>
                                        </w:tcPr>
                                        <w:p>
                                          <w:pPr>
                                            <w:rPr>
                                              <w:rFonts w:hint="eastAsia" w:ascii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pStyle w:val="2"/>
                                      <w:widowControl/>
                                      <w:jc w:val="center"/>
                                    </w:pPr>
                                    <w:r>
                                      <w:rPr>
                                        <w:rFonts w:hint="default" w:ascii="Verdana" w:hAnsi="Verdana" w:cs="Verdana"/>
                                        <w:sz w:val="18"/>
                                        <w:szCs w:val="18"/>
                                        <w:bdr w:val="none" w:color="auto" w:sz="0" w:space="0"/>
                                      </w:rPr>
                                      <w:t>    本报4月10日讯（记者 柳德新 通讯员 刘振林 何峰）连日来，在江华瑶族自治县东田镇涔天河水库扩建工程现场，工作人员正在紧张开展进场道路施工和坝区征地测量，确保导流洞7月开工。省水利厅今天发布的最新数据显示：截至3月底，我省2011年度水利建设任务全面完成，去冬今春完成水利建设总投资首次超过100亿元，达114.2亿元，同比增长45%。</w:t>
                                    </w:r>
                                  </w:p>
                                  <w:p>
                                    <w:pPr>
                                      <w:pStyle w:val="2"/>
                                      <w:widowControl/>
                                      <w:jc w:val="center"/>
                                    </w:pPr>
                                    <w:r>
                                      <w:rPr>
                                        <w:rFonts w:hint="default" w:ascii="Verdana" w:hAnsi="Verdana" w:cs="Verdana"/>
                                        <w:sz w:val="18"/>
                                        <w:szCs w:val="18"/>
                                        <w:bdr w:val="none" w:color="auto" w:sz="0" w:space="0"/>
                                      </w:rPr>
                                      <w:t>    我省去年成为全国唯一的水利综合改革试点省，水利部、省政府批准实施《湖南省加快水利改革试点方案》，启动水资源管理体制、水利投融资机制、水利工程建设管理体制、基层水利服务体系和水价改革。今年一季度，水利改革全面提速：省政府出台《湖南省河道采砂管理试行办法》，明确建立“政府主导、水利主管、部门配合”的河道采砂管理体制；全省11200多座小型水库实行管护员制度，做到一库一人，每人每年由财政落实5000元管护经费；长沙市完成城市居民和非居民水价改革，2月1日实行城区居民生活用水阶梯式水价、非居民用水超定额累进加价制度，拉开了高耗水行业与其他行业的水价差价。</w:t>
                                    </w:r>
                                  </w:p>
                                  <w:p>
                                    <w:pPr>
                                      <w:pStyle w:val="2"/>
                                      <w:widowControl/>
                                      <w:jc w:val="center"/>
                                    </w:pPr>
                                    <w:r>
                                      <w:rPr>
                                        <w:rFonts w:hint="default" w:ascii="Verdana" w:hAnsi="Verdana" w:cs="Verdana"/>
                                        <w:sz w:val="18"/>
                                        <w:szCs w:val="18"/>
                                        <w:bdr w:val="none" w:color="auto" w:sz="0" w:space="0"/>
                                      </w:rPr>
                                      <w:t>    水利改革带来大投入、大发展。在公共财政大幅增加对水利投入的同时，我省不断拓宽水利投融资渠道。作为省级水利融资平台公司，湖南水利投资有限公司正通过直接、间接融资方式，吸引社会资金参与水利建设。该公司投资3.5亿元的衡阳耒水东岸防洪工程，已于今年1月开工。国家开发银行、中国农业银行、中国农业发展银行、农村信用社等都把水利作为基础设施贷款支持重点，去年以来放贷23亿多元。同时，我省扩大“一事一议”财政奖补范围，去冬今春带动1000万人次建设农田水利。</w:t>
                                    </w:r>
                                  </w:p>
                                  <w:p>
                                    <w:pPr>
                                      <w:pStyle w:val="2"/>
                                      <w:widowControl/>
                                      <w:jc w:val="center"/>
                                    </w:pPr>
                                    <w:r>
                                      <w:rPr>
                                        <w:rFonts w:hint="default" w:ascii="Verdana" w:hAnsi="Verdana" w:cs="Verdana"/>
                                        <w:sz w:val="18"/>
                                        <w:szCs w:val="18"/>
                                        <w:bdr w:val="none" w:color="auto" w:sz="0" w:space="0"/>
                                      </w:rPr>
                                      <w:t>    记者在南县明山镇湖子口村看到，新建的小型农田水利设施“渠渠相通、沟沟相连”。省水利厅厅长戴军勇介绍，53个全国小型农田水利重点县2011年度建设项目均已完成，青山、甘溪、韶花3处泵站和15处大型灌区续建配套与节水改造顺利推进，为今年农业稳定增产、农民稳定增收奠定了水利基础。</w:t>
                                    </w:r>
                                  </w:p>
                                </w:tc>
                              </w:tr>
                              <w:bookmarkEnd w:id="0"/>
                            </w:tbl>
                            <w:p>
                              <w:pPr>
                                <w:jc w:val="center"/>
                                <w:rPr>
                                  <w:rFonts w:hint="default" w:ascii="Verdana" w:hAnsi="Verdana" w:cs="Verdana"/>
                                  <w:color w:val="333333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jc w:val="center"/>
                          <w:rPr>
                            <w:rFonts w:hint="default" w:ascii="Verdana" w:hAnsi="Verdana" w:cs="Verdana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>
                  <w:pPr>
                    <w:jc w:val="center"/>
                    <w:rPr>
                      <w:rFonts w:hint="default" w:ascii="Verdana" w:hAnsi="Verdana" w:cs="Verdana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47EC5375"/>
    <w:rsid w:val="47EC537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3">
    <w:name w:val="Default Paragraph Font"/>
    <w:unhideWhenUsed/>
    <w:uiPriority w:val="0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Normal (Web)"/>
    <w:basedOn w:val="1"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ScaleCrop>false</ScaleCrop>
  <LinksUpToDate>false</LinksUpToDate>
  <CharactersWithSpaces>0</CharactersWithSpaces>
  <Application>WPS Office_9.1.0.5133_F1E327BC-269C-435d-A152-05C5408002CA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2015-08-16T09:15:00Z</dcterms:created>
  <dc:creator>Administrator</dc:creator>
  <cp:lastModifiedBy>Administrator</cp:lastModifiedBy>
  <dcterms:modified xsi:type="dcterms:W3CDTF">2015-08-16T09:16:57Z</dcterms:modified>
  <dc:title>去冬今春全省完成水利建设总投资首逾百亿，同比增长45%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